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4C4" w:rsidRDefault="00F324C4">
      <w:pPr>
        <w:rPr>
          <w:rFonts w:ascii="Arial" w:hAnsi="Arial" w:cs="Arial"/>
          <w:b/>
          <w:sz w:val="20"/>
          <w:szCs w:val="20"/>
        </w:rPr>
      </w:pPr>
      <w:r>
        <w:rPr>
          <w:rFonts w:ascii="Arial" w:hAnsi="Arial" w:cs="Arial"/>
          <w:b/>
          <w:sz w:val="20"/>
          <w:szCs w:val="20"/>
        </w:rPr>
        <w:t xml:space="preserve">                                                       </w:t>
      </w:r>
      <w:r>
        <w:rPr>
          <w:rFonts w:ascii="Arial" w:hAnsi="Arial" w:cs="Arial"/>
          <w:b/>
          <w:noProof/>
          <w:sz w:val="20"/>
          <w:szCs w:val="20"/>
        </w:rPr>
        <w:drawing>
          <wp:inline distT="0" distB="0" distL="0" distR="0">
            <wp:extent cx="2011680" cy="671803"/>
            <wp:effectExtent l="0" t="0" r="7620" b="0"/>
            <wp:docPr id="2" name="Picture 2" descr="C:\Users\Papito Aquino\Desktop\JesusAquino_logo_color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pito Aquino\Desktop\JesusAquino_logo_color_we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1680" cy="671803"/>
                    </a:xfrm>
                    <a:prstGeom prst="rect">
                      <a:avLst/>
                    </a:prstGeom>
                    <a:noFill/>
                    <a:ln>
                      <a:noFill/>
                    </a:ln>
                  </pic:spPr>
                </pic:pic>
              </a:graphicData>
            </a:graphic>
          </wp:inline>
        </w:drawing>
      </w:r>
    </w:p>
    <w:p w:rsidR="00972E37" w:rsidRPr="00517CDF" w:rsidRDefault="00E05980">
      <w:pPr>
        <w:rPr>
          <w:rFonts w:ascii="Arial" w:hAnsi="Arial" w:cs="Arial"/>
          <w:b/>
          <w:sz w:val="20"/>
          <w:szCs w:val="20"/>
        </w:rPr>
      </w:pPr>
      <w:r>
        <w:rPr>
          <w:rFonts w:ascii="Arial" w:hAnsi="Arial" w:cs="Arial"/>
          <w:b/>
          <w:sz w:val="20"/>
          <w:szCs w:val="20"/>
        </w:rPr>
        <w:t xml:space="preserve"> </w:t>
      </w:r>
      <w:r w:rsidR="00560887" w:rsidRPr="00E05980">
        <w:rPr>
          <w:rFonts w:ascii="Arial" w:hAnsi="Arial" w:cs="Arial"/>
          <w:b/>
          <w:sz w:val="20"/>
          <w:szCs w:val="20"/>
        </w:rPr>
        <w:t xml:space="preserve"> </w:t>
      </w:r>
      <w:r w:rsidR="0093565B" w:rsidRPr="00517CDF">
        <w:rPr>
          <w:rFonts w:ascii="Arial" w:hAnsi="Arial" w:cs="Arial"/>
          <w:b/>
          <w:sz w:val="20"/>
          <w:szCs w:val="20"/>
          <w:u w:val="single"/>
        </w:rPr>
        <w:t>Seller</w:t>
      </w:r>
      <w:r w:rsidR="00560887" w:rsidRPr="00517CDF">
        <w:rPr>
          <w:rFonts w:ascii="Arial" w:hAnsi="Arial" w:cs="Arial"/>
          <w:b/>
          <w:sz w:val="20"/>
          <w:szCs w:val="20"/>
          <w:u w:val="single"/>
        </w:rPr>
        <w:t xml:space="preserve"> Comprehensive Disclosure and Acknowledgment</w:t>
      </w:r>
    </w:p>
    <w:p w:rsidR="00517CDF" w:rsidRDefault="00FA7EF6" w:rsidP="00743A53">
      <w:pPr>
        <w:rPr>
          <w:rFonts w:ascii="Arial" w:hAnsi="Arial" w:cs="Arial"/>
          <w:b/>
          <w:sz w:val="16"/>
          <w:szCs w:val="16"/>
        </w:rPr>
      </w:pPr>
      <w:r w:rsidRPr="00E05980">
        <w:rPr>
          <w:rFonts w:ascii="Arial" w:hAnsi="Arial" w:cs="Arial"/>
          <w:b/>
          <w:sz w:val="16"/>
          <w:szCs w:val="16"/>
        </w:rPr>
        <w:t>Seller</w:t>
      </w:r>
      <w:r w:rsidR="00CD3B24" w:rsidRPr="00E05980">
        <w:rPr>
          <w:rFonts w:ascii="Arial" w:hAnsi="Arial" w:cs="Arial"/>
          <w:b/>
          <w:sz w:val="16"/>
          <w:szCs w:val="16"/>
        </w:rPr>
        <w:t>(s)</w:t>
      </w:r>
      <w:r w:rsidR="00106B77" w:rsidRPr="00E05980">
        <w:rPr>
          <w:rFonts w:ascii="Arial" w:hAnsi="Arial" w:cs="Arial"/>
          <w:b/>
          <w:sz w:val="16"/>
          <w:szCs w:val="16"/>
        </w:rPr>
        <w:t>;</w:t>
      </w:r>
      <w:r w:rsidR="0093565B" w:rsidRPr="00E05980">
        <w:rPr>
          <w:rFonts w:ascii="Arial" w:hAnsi="Arial" w:cs="Arial"/>
          <w:b/>
          <w:sz w:val="16"/>
          <w:szCs w:val="16"/>
        </w:rPr>
        <w:t xml:space="preserve">                      </w:t>
      </w:r>
      <w:r w:rsidR="00517CDF">
        <w:rPr>
          <w:rFonts w:ascii="Arial" w:hAnsi="Arial" w:cs="Arial"/>
          <w:b/>
          <w:sz w:val="16"/>
          <w:szCs w:val="16"/>
        </w:rPr>
        <w:t xml:space="preserve">                                                                                </w:t>
      </w:r>
    </w:p>
    <w:p w:rsidR="00560887" w:rsidRPr="00E05980" w:rsidRDefault="00743A53" w:rsidP="00743A53">
      <w:pPr>
        <w:rPr>
          <w:rFonts w:ascii="Arial" w:hAnsi="Arial" w:cs="Arial"/>
          <w:b/>
          <w:sz w:val="16"/>
          <w:szCs w:val="16"/>
        </w:rPr>
      </w:pPr>
      <w:r w:rsidRPr="00E05980">
        <w:rPr>
          <w:rFonts w:ascii="Arial" w:hAnsi="Arial" w:cs="Arial"/>
          <w:b/>
          <w:sz w:val="16"/>
          <w:szCs w:val="16"/>
        </w:rPr>
        <w:t xml:space="preserve">Property </w:t>
      </w:r>
      <w:proofErr w:type="gramStart"/>
      <w:r w:rsidRPr="00E05980">
        <w:rPr>
          <w:rFonts w:ascii="Arial" w:hAnsi="Arial" w:cs="Arial"/>
          <w:b/>
          <w:sz w:val="16"/>
          <w:szCs w:val="16"/>
        </w:rPr>
        <w:t>Address ;</w:t>
      </w:r>
      <w:proofErr w:type="gramEnd"/>
      <w:r w:rsidRPr="00E05980">
        <w:rPr>
          <w:rFonts w:ascii="Arial" w:hAnsi="Arial" w:cs="Arial"/>
          <w:b/>
          <w:sz w:val="16"/>
          <w:szCs w:val="16"/>
        </w:rPr>
        <w:t xml:space="preserve"> </w:t>
      </w:r>
    </w:p>
    <w:p w:rsidR="00B22DD1" w:rsidRPr="00E05980" w:rsidRDefault="00B22DD1">
      <w:pPr>
        <w:rPr>
          <w:rFonts w:ascii="Arial" w:hAnsi="Arial" w:cs="Arial"/>
          <w:sz w:val="16"/>
          <w:szCs w:val="16"/>
        </w:rPr>
      </w:pPr>
      <w:r w:rsidRPr="00E05980">
        <w:rPr>
          <w:rFonts w:ascii="Arial" w:hAnsi="Arial" w:cs="Arial"/>
          <w:b/>
          <w:sz w:val="16"/>
          <w:szCs w:val="16"/>
          <w:u w:val="single"/>
        </w:rPr>
        <w:t>1</w:t>
      </w:r>
      <w:r w:rsidRPr="00E05980">
        <w:rPr>
          <w:rFonts w:ascii="Arial" w:hAnsi="Arial" w:cs="Arial"/>
          <w:b/>
          <w:sz w:val="16"/>
          <w:szCs w:val="16"/>
        </w:rPr>
        <w:t xml:space="preserve">.  </w:t>
      </w:r>
      <w:r w:rsidRPr="00E05980">
        <w:rPr>
          <w:rFonts w:ascii="Arial" w:hAnsi="Arial" w:cs="Arial"/>
          <w:sz w:val="16"/>
          <w:szCs w:val="16"/>
          <w:u w:val="single"/>
        </w:rPr>
        <w:t>Equal Housing Opportunity</w:t>
      </w:r>
      <w:r w:rsidR="00EF3538" w:rsidRPr="00E05980">
        <w:rPr>
          <w:rFonts w:ascii="Arial" w:hAnsi="Arial" w:cs="Arial"/>
          <w:sz w:val="16"/>
          <w:szCs w:val="16"/>
          <w:u w:val="single"/>
        </w:rPr>
        <w:t>.</w:t>
      </w:r>
      <w:r w:rsidRPr="00E05980">
        <w:rPr>
          <w:rFonts w:ascii="Arial" w:hAnsi="Arial" w:cs="Arial"/>
          <w:sz w:val="16"/>
          <w:szCs w:val="16"/>
        </w:rPr>
        <w:t xml:space="preserve">  </w:t>
      </w:r>
      <w:r w:rsidR="00EF3538" w:rsidRPr="00E05980">
        <w:rPr>
          <w:rFonts w:ascii="Arial" w:hAnsi="Arial" w:cs="Arial"/>
          <w:b/>
          <w:sz w:val="16"/>
          <w:szCs w:val="16"/>
        </w:rPr>
        <w:t>Aquino Homes Real Estate</w:t>
      </w:r>
      <w:r w:rsidR="00EF3538" w:rsidRPr="00E05980">
        <w:rPr>
          <w:rFonts w:ascii="Arial" w:hAnsi="Arial" w:cs="Arial"/>
          <w:sz w:val="16"/>
          <w:szCs w:val="16"/>
        </w:rPr>
        <w:t xml:space="preserve"> I</w:t>
      </w:r>
      <w:r w:rsidRPr="00E05980">
        <w:rPr>
          <w:rFonts w:ascii="Arial" w:hAnsi="Arial" w:cs="Arial"/>
          <w:sz w:val="16"/>
          <w:szCs w:val="16"/>
        </w:rPr>
        <w:t>t’s sales associated and employees (collectively, “Broker”) are committed to providing equal and fair housing opportunities to all persons regardless of race, color, religion, national origin, ancestry, gender, age, familial status, disability or any other protected status.  Broker’s policy is to comply with the letter and spirit of all fair housing</w:t>
      </w:r>
      <w:r w:rsidR="00964699" w:rsidRPr="00E05980">
        <w:rPr>
          <w:rFonts w:ascii="Arial" w:hAnsi="Arial" w:cs="Arial"/>
          <w:sz w:val="16"/>
          <w:szCs w:val="16"/>
        </w:rPr>
        <w:t xml:space="preserve"> </w:t>
      </w:r>
      <w:r w:rsidRPr="00E05980">
        <w:rPr>
          <w:rFonts w:ascii="Arial" w:hAnsi="Arial" w:cs="Arial"/>
          <w:sz w:val="16"/>
          <w:szCs w:val="16"/>
        </w:rPr>
        <w:t>and anti-discrimination laws and regulations.</w:t>
      </w:r>
    </w:p>
    <w:p w:rsidR="00B22DD1" w:rsidRPr="00E05980" w:rsidRDefault="00B22DD1">
      <w:pPr>
        <w:rPr>
          <w:rFonts w:ascii="Arial" w:hAnsi="Arial" w:cs="Arial"/>
          <w:sz w:val="16"/>
          <w:szCs w:val="16"/>
        </w:rPr>
      </w:pPr>
      <w:r w:rsidRPr="00E05980">
        <w:rPr>
          <w:rFonts w:ascii="Arial" w:hAnsi="Arial" w:cs="Arial"/>
          <w:sz w:val="16"/>
          <w:szCs w:val="16"/>
        </w:rPr>
        <w:t xml:space="preserve">2. </w:t>
      </w:r>
      <w:r w:rsidRPr="00E05980">
        <w:rPr>
          <w:rFonts w:ascii="Arial" w:hAnsi="Arial" w:cs="Arial"/>
          <w:sz w:val="16"/>
          <w:szCs w:val="16"/>
          <w:u w:val="single"/>
        </w:rPr>
        <w:t>Legal requirement and tax advice</w:t>
      </w:r>
      <w:r w:rsidRPr="00E05980">
        <w:rPr>
          <w:rFonts w:ascii="Arial" w:hAnsi="Arial" w:cs="Arial"/>
          <w:sz w:val="16"/>
          <w:szCs w:val="16"/>
        </w:rPr>
        <w:t>.</w:t>
      </w:r>
      <w:r w:rsidRPr="00E05980">
        <w:rPr>
          <w:rFonts w:ascii="Arial" w:hAnsi="Arial" w:cs="Arial"/>
          <w:b/>
          <w:sz w:val="16"/>
          <w:szCs w:val="16"/>
        </w:rPr>
        <w:t xml:space="preserve">       </w:t>
      </w:r>
      <w:r w:rsidRPr="00E05980">
        <w:rPr>
          <w:rFonts w:ascii="Arial" w:hAnsi="Arial" w:cs="Arial"/>
          <w:sz w:val="16"/>
          <w:szCs w:val="16"/>
        </w:rPr>
        <w:t>A</w:t>
      </w:r>
      <w:r w:rsidR="00A6159A" w:rsidRPr="00E05980">
        <w:rPr>
          <w:rFonts w:ascii="Arial" w:hAnsi="Arial" w:cs="Arial"/>
          <w:sz w:val="16"/>
          <w:szCs w:val="16"/>
        </w:rPr>
        <w:t xml:space="preserve">ll </w:t>
      </w:r>
      <w:r w:rsidR="00A7711E" w:rsidRPr="00E05980">
        <w:rPr>
          <w:rFonts w:ascii="Arial" w:hAnsi="Arial" w:cs="Arial"/>
          <w:sz w:val="16"/>
          <w:szCs w:val="16"/>
        </w:rPr>
        <w:t>contracts</w:t>
      </w:r>
      <w:r w:rsidR="00A6159A" w:rsidRPr="00E05980">
        <w:rPr>
          <w:rFonts w:ascii="Arial" w:hAnsi="Arial" w:cs="Arial"/>
          <w:sz w:val="16"/>
          <w:szCs w:val="16"/>
        </w:rPr>
        <w:t xml:space="preserve"> for the sale of real property are required to be in writing and signed by all parties to be enforceable.  Broker recommends that you consult with an attorney or tax advisor if you require legal or tax advice prior to entering into this or any other contract.</w:t>
      </w:r>
    </w:p>
    <w:p w:rsidR="00A6159A" w:rsidRPr="00E05980" w:rsidRDefault="00A6159A">
      <w:pPr>
        <w:rPr>
          <w:rFonts w:ascii="Arial" w:hAnsi="Arial" w:cs="Arial"/>
          <w:sz w:val="16"/>
          <w:szCs w:val="16"/>
        </w:rPr>
      </w:pPr>
      <w:r w:rsidRPr="00E05980">
        <w:rPr>
          <w:rFonts w:ascii="Arial" w:hAnsi="Arial" w:cs="Arial"/>
          <w:sz w:val="16"/>
          <w:szCs w:val="16"/>
        </w:rPr>
        <w:t xml:space="preserve">3. </w:t>
      </w:r>
      <w:r w:rsidRPr="00E05980">
        <w:rPr>
          <w:rFonts w:ascii="Arial" w:hAnsi="Arial" w:cs="Arial"/>
          <w:sz w:val="16"/>
          <w:szCs w:val="16"/>
          <w:u w:val="single"/>
        </w:rPr>
        <w:t>Brokerage Relationship</w:t>
      </w:r>
      <w:r w:rsidRPr="00E05980">
        <w:rPr>
          <w:rFonts w:ascii="Arial" w:hAnsi="Arial" w:cs="Arial"/>
          <w:sz w:val="16"/>
          <w:szCs w:val="16"/>
        </w:rPr>
        <w:t xml:space="preserve">.    You acknowledge that Broker and </w:t>
      </w:r>
      <w:r w:rsidR="00A7711E" w:rsidRPr="00E05980">
        <w:rPr>
          <w:rFonts w:ascii="Arial" w:hAnsi="Arial" w:cs="Arial"/>
          <w:sz w:val="16"/>
          <w:szCs w:val="16"/>
        </w:rPr>
        <w:t>its</w:t>
      </w:r>
      <w:r w:rsidRPr="00E05980">
        <w:rPr>
          <w:rFonts w:ascii="Arial" w:hAnsi="Arial" w:cs="Arial"/>
          <w:sz w:val="16"/>
          <w:szCs w:val="16"/>
        </w:rPr>
        <w:t xml:space="preserve"> representatives are representing you in a statutory transaction Brokerage relationship as set forth in section 475.01 and 475.278, Flori</w:t>
      </w:r>
      <w:r w:rsidR="00EF3538" w:rsidRPr="00E05980">
        <w:rPr>
          <w:rFonts w:ascii="Arial" w:hAnsi="Arial" w:cs="Arial"/>
          <w:sz w:val="16"/>
          <w:szCs w:val="16"/>
        </w:rPr>
        <w:t xml:space="preserve">da Statutes. You agree to pay </w:t>
      </w:r>
      <w:r w:rsidR="00EF3538" w:rsidRPr="00E05980">
        <w:rPr>
          <w:rFonts w:ascii="Arial" w:hAnsi="Arial" w:cs="Arial"/>
          <w:b/>
          <w:sz w:val="16"/>
          <w:szCs w:val="16"/>
        </w:rPr>
        <w:t>Aquino Homes Real Estate</w:t>
      </w:r>
      <w:r w:rsidR="00EF3538" w:rsidRPr="00E05980">
        <w:rPr>
          <w:rFonts w:ascii="Arial" w:hAnsi="Arial" w:cs="Arial"/>
          <w:sz w:val="16"/>
          <w:szCs w:val="16"/>
        </w:rPr>
        <w:t xml:space="preserve"> </w:t>
      </w:r>
      <w:r w:rsidR="00094451" w:rsidRPr="00E05980">
        <w:rPr>
          <w:rFonts w:ascii="Arial" w:hAnsi="Arial" w:cs="Arial"/>
          <w:sz w:val="16"/>
          <w:szCs w:val="16"/>
        </w:rPr>
        <w:t xml:space="preserve">an additional Brokerage </w:t>
      </w:r>
      <w:proofErr w:type="gramStart"/>
      <w:r w:rsidR="00094451" w:rsidRPr="00E05980">
        <w:rPr>
          <w:rFonts w:ascii="Arial" w:hAnsi="Arial" w:cs="Arial"/>
          <w:sz w:val="16"/>
          <w:szCs w:val="16"/>
        </w:rPr>
        <w:t xml:space="preserve">commission </w:t>
      </w:r>
      <w:r w:rsidR="00AA7488">
        <w:rPr>
          <w:rFonts w:ascii="Arial" w:hAnsi="Arial" w:cs="Arial"/>
          <w:sz w:val="16"/>
          <w:szCs w:val="16"/>
        </w:rPr>
        <w:t xml:space="preserve"> of</w:t>
      </w:r>
      <w:proofErr w:type="gramEnd"/>
      <w:r w:rsidR="00AA7488">
        <w:rPr>
          <w:rFonts w:ascii="Arial" w:hAnsi="Arial" w:cs="Arial"/>
          <w:sz w:val="16"/>
          <w:szCs w:val="16"/>
        </w:rPr>
        <w:t xml:space="preserve"> $3</w:t>
      </w:r>
      <w:r w:rsidRPr="00E05980">
        <w:rPr>
          <w:rFonts w:ascii="Arial" w:hAnsi="Arial" w:cs="Arial"/>
          <w:sz w:val="16"/>
          <w:szCs w:val="16"/>
        </w:rPr>
        <w:t>95.00 at closing.</w:t>
      </w:r>
      <w:r w:rsidR="00094451" w:rsidRPr="00E05980">
        <w:rPr>
          <w:rFonts w:ascii="Arial" w:hAnsi="Arial" w:cs="Arial"/>
          <w:sz w:val="16"/>
          <w:szCs w:val="16"/>
        </w:rPr>
        <w:t xml:space="preserve"> </w:t>
      </w:r>
    </w:p>
    <w:p w:rsidR="00A6159A" w:rsidRPr="00E05980" w:rsidRDefault="00A6159A">
      <w:pPr>
        <w:rPr>
          <w:rFonts w:ascii="Arial" w:hAnsi="Arial" w:cs="Arial"/>
          <w:sz w:val="16"/>
          <w:szCs w:val="16"/>
        </w:rPr>
      </w:pPr>
      <w:r w:rsidRPr="00E05980">
        <w:rPr>
          <w:rFonts w:ascii="Arial" w:hAnsi="Arial" w:cs="Arial"/>
          <w:sz w:val="16"/>
          <w:szCs w:val="16"/>
        </w:rPr>
        <w:t xml:space="preserve">4.  </w:t>
      </w:r>
      <w:proofErr w:type="spellStart"/>
      <w:r w:rsidRPr="00E05980">
        <w:rPr>
          <w:rFonts w:ascii="Arial" w:hAnsi="Arial" w:cs="Arial"/>
          <w:sz w:val="16"/>
          <w:szCs w:val="16"/>
          <w:u w:val="single"/>
        </w:rPr>
        <w:t>Escrow</w:t>
      </w:r>
      <w:r w:rsidR="00964699" w:rsidRPr="00E05980">
        <w:rPr>
          <w:rFonts w:ascii="Arial" w:hAnsi="Arial" w:cs="Arial"/>
          <w:sz w:val="16"/>
          <w:szCs w:val="16"/>
          <w:u w:val="single"/>
        </w:rPr>
        <w:t>.</w:t>
      </w:r>
      <w:r w:rsidRPr="00E05980">
        <w:rPr>
          <w:rFonts w:ascii="Arial" w:hAnsi="Arial" w:cs="Arial"/>
          <w:sz w:val="16"/>
          <w:szCs w:val="16"/>
        </w:rPr>
        <w:t>Monies</w:t>
      </w:r>
      <w:proofErr w:type="spellEnd"/>
      <w:r w:rsidRPr="00E05980">
        <w:rPr>
          <w:rFonts w:ascii="Arial" w:hAnsi="Arial" w:cs="Arial"/>
          <w:sz w:val="16"/>
          <w:szCs w:val="16"/>
        </w:rPr>
        <w:t xml:space="preserve"> placed in escrow</w:t>
      </w:r>
      <w:r w:rsidR="00BE08C9" w:rsidRPr="00E05980">
        <w:rPr>
          <w:rFonts w:ascii="Arial" w:hAnsi="Arial" w:cs="Arial"/>
          <w:sz w:val="16"/>
          <w:szCs w:val="16"/>
        </w:rPr>
        <w:t xml:space="preserve"> with</w:t>
      </w:r>
      <w:r w:rsidR="00FA7EF6" w:rsidRPr="00E05980">
        <w:rPr>
          <w:sz w:val="16"/>
          <w:szCs w:val="16"/>
        </w:rPr>
        <w:t xml:space="preserve"> </w:t>
      </w:r>
      <w:r w:rsidR="00517CDF">
        <w:rPr>
          <w:rFonts w:ascii="Arial" w:hAnsi="Arial" w:cs="Arial"/>
          <w:b/>
          <w:sz w:val="16"/>
          <w:szCs w:val="16"/>
        </w:rPr>
        <w:t xml:space="preserve">Southeast Professional Title, </w:t>
      </w:r>
      <w:r w:rsidR="00517CDF" w:rsidRPr="00517CDF">
        <w:rPr>
          <w:rFonts w:ascii="Arial" w:hAnsi="Arial" w:cs="Arial"/>
          <w:b/>
          <w:bCs/>
          <w:sz w:val="16"/>
          <w:szCs w:val="16"/>
        </w:rPr>
        <w:t xml:space="preserve">151 </w:t>
      </w:r>
      <w:proofErr w:type="spellStart"/>
      <w:r w:rsidR="00517CDF" w:rsidRPr="00517CDF">
        <w:rPr>
          <w:rFonts w:ascii="Arial" w:hAnsi="Arial" w:cs="Arial"/>
          <w:b/>
          <w:bCs/>
          <w:sz w:val="16"/>
          <w:szCs w:val="16"/>
        </w:rPr>
        <w:t>Southhall</w:t>
      </w:r>
      <w:proofErr w:type="spellEnd"/>
      <w:r w:rsidR="00517CDF" w:rsidRPr="00517CDF">
        <w:rPr>
          <w:rFonts w:ascii="Arial" w:hAnsi="Arial" w:cs="Arial"/>
          <w:b/>
          <w:bCs/>
          <w:sz w:val="16"/>
          <w:szCs w:val="16"/>
        </w:rPr>
        <w:t xml:space="preserve"> Lane, Suite 230</w:t>
      </w:r>
      <w:r w:rsidR="00FA7EF6" w:rsidRPr="00E05980">
        <w:rPr>
          <w:rFonts w:ascii="Arial" w:hAnsi="Arial" w:cs="Arial"/>
          <w:sz w:val="16"/>
          <w:szCs w:val="16"/>
        </w:rPr>
        <w:t>,</w:t>
      </w:r>
      <w:r w:rsidR="00517CDF" w:rsidRPr="00517CDF">
        <w:rPr>
          <w:b/>
          <w:bCs/>
        </w:rPr>
        <w:t xml:space="preserve"> </w:t>
      </w:r>
      <w:r w:rsidR="00517CDF" w:rsidRPr="00517CDF">
        <w:rPr>
          <w:rFonts w:ascii="Arial" w:hAnsi="Arial" w:cs="Arial"/>
          <w:b/>
          <w:bCs/>
          <w:sz w:val="16"/>
          <w:szCs w:val="16"/>
        </w:rPr>
        <w:t>Maitland, Florida  32751</w:t>
      </w:r>
      <w:r w:rsidR="00517CDF">
        <w:rPr>
          <w:rFonts w:ascii="Arial" w:hAnsi="Arial" w:cs="Arial"/>
          <w:b/>
          <w:bCs/>
          <w:sz w:val="16"/>
          <w:szCs w:val="16"/>
        </w:rPr>
        <w:t>,</w:t>
      </w:r>
      <w:r w:rsidR="00517CDF" w:rsidRPr="00517CDF">
        <w:rPr>
          <w:b/>
          <w:bCs/>
        </w:rPr>
        <w:t xml:space="preserve"> </w:t>
      </w:r>
      <w:r w:rsidR="00517CDF" w:rsidRPr="00517CDF">
        <w:rPr>
          <w:rFonts w:ascii="Arial" w:hAnsi="Arial" w:cs="Arial"/>
          <w:b/>
          <w:bCs/>
          <w:sz w:val="16"/>
          <w:szCs w:val="16"/>
        </w:rPr>
        <w:t>Phone:  (407) 539-0781 x102</w:t>
      </w:r>
      <w:r w:rsidR="00517CDF">
        <w:rPr>
          <w:rFonts w:ascii="Arial" w:hAnsi="Arial" w:cs="Arial"/>
          <w:b/>
          <w:bCs/>
          <w:sz w:val="16"/>
          <w:szCs w:val="16"/>
        </w:rPr>
        <w:t xml:space="preserve"> </w:t>
      </w:r>
      <w:r w:rsidR="00517CDF" w:rsidRPr="00517CDF">
        <w:rPr>
          <w:rFonts w:ascii="Arial" w:hAnsi="Arial" w:cs="Arial"/>
          <w:b/>
          <w:bCs/>
          <w:sz w:val="16"/>
          <w:szCs w:val="16"/>
        </w:rPr>
        <w:t>Fax:  (321) 304-3416</w:t>
      </w:r>
      <w:r w:rsidR="00517CDF">
        <w:rPr>
          <w:rFonts w:ascii="Arial" w:hAnsi="Arial" w:cs="Arial"/>
          <w:b/>
          <w:bCs/>
          <w:sz w:val="16"/>
          <w:szCs w:val="16"/>
        </w:rPr>
        <w:t xml:space="preserve"> </w:t>
      </w:r>
      <w:hyperlink r:id="rId8" w:tgtFrame="_blank" w:history="1">
        <w:r w:rsidR="00517CDF" w:rsidRPr="00517CDF">
          <w:rPr>
            <w:rFonts w:ascii="Arial" w:hAnsi="Arial" w:cs="Arial"/>
            <w:b/>
            <w:bCs/>
            <w:color w:val="0000FF"/>
            <w:sz w:val="16"/>
            <w:szCs w:val="16"/>
            <w:u w:val="single"/>
          </w:rPr>
          <w:t>www.SEProTitle.com</w:t>
        </w:r>
      </w:hyperlink>
      <w:r w:rsidR="00517CDF" w:rsidRPr="00517CDF">
        <w:rPr>
          <w:rFonts w:ascii="Arial" w:hAnsi="Arial" w:cs="Arial"/>
          <w:b/>
          <w:bCs/>
          <w:sz w:val="16"/>
          <w:szCs w:val="16"/>
        </w:rPr>
        <w:t xml:space="preserve"> </w:t>
      </w:r>
      <w:r w:rsidRPr="00517CDF">
        <w:rPr>
          <w:rFonts w:ascii="Arial" w:hAnsi="Arial" w:cs="Arial"/>
          <w:sz w:val="16"/>
          <w:szCs w:val="16"/>
        </w:rPr>
        <w:t xml:space="preserve"> </w:t>
      </w:r>
      <w:r w:rsidR="006D67D4" w:rsidRPr="00E05980">
        <w:rPr>
          <w:rFonts w:ascii="Arial" w:hAnsi="Arial" w:cs="Arial"/>
          <w:sz w:val="16"/>
          <w:szCs w:val="16"/>
        </w:rPr>
        <w:t>W</w:t>
      </w:r>
      <w:r w:rsidRPr="00E05980">
        <w:rPr>
          <w:rFonts w:ascii="Arial" w:hAnsi="Arial" w:cs="Arial"/>
          <w:sz w:val="16"/>
          <w:szCs w:val="16"/>
        </w:rPr>
        <w:t xml:space="preserve">ill be held in compliance with chapter 475 </w:t>
      </w:r>
      <w:r w:rsidR="00A7711E" w:rsidRPr="00E05980">
        <w:rPr>
          <w:rFonts w:ascii="Arial" w:hAnsi="Arial" w:cs="Arial"/>
          <w:sz w:val="16"/>
          <w:szCs w:val="16"/>
        </w:rPr>
        <w:t xml:space="preserve">Florida </w:t>
      </w:r>
      <w:proofErr w:type="spellStart"/>
      <w:r w:rsidR="00A7711E" w:rsidRPr="00E05980">
        <w:rPr>
          <w:rFonts w:ascii="Arial" w:hAnsi="Arial" w:cs="Arial"/>
          <w:sz w:val="16"/>
          <w:szCs w:val="16"/>
        </w:rPr>
        <w:t>Statutes</w:t>
      </w:r>
      <w:r w:rsidR="00BE08C9" w:rsidRPr="00E05980">
        <w:rPr>
          <w:rFonts w:ascii="Arial" w:hAnsi="Arial" w:cs="Arial"/>
          <w:sz w:val="16"/>
          <w:szCs w:val="16"/>
        </w:rPr>
        <w:t>.</w:t>
      </w:r>
      <w:r w:rsidR="00FA7EF6" w:rsidRPr="00E05980">
        <w:rPr>
          <w:rFonts w:ascii="Arial" w:hAnsi="Arial" w:cs="Arial"/>
          <w:sz w:val="16"/>
          <w:szCs w:val="16"/>
        </w:rPr>
        <w:t>You</w:t>
      </w:r>
      <w:proofErr w:type="spellEnd"/>
      <w:r w:rsidR="00FA7EF6" w:rsidRPr="00E05980">
        <w:rPr>
          <w:rFonts w:ascii="Arial" w:hAnsi="Arial" w:cs="Arial"/>
          <w:sz w:val="16"/>
          <w:szCs w:val="16"/>
        </w:rPr>
        <w:t xml:space="preserve"> agree that</w:t>
      </w:r>
      <w:r w:rsidR="00517CDF" w:rsidRPr="00517CDF">
        <w:rPr>
          <w:rFonts w:ascii="Arial" w:hAnsi="Arial" w:cs="Arial"/>
          <w:b/>
          <w:sz w:val="16"/>
          <w:szCs w:val="16"/>
        </w:rPr>
        <w:t xml:space="preserve"> </w:t>
      </w:r>
      <w:r w:rsidR="00517CDF">
        <w:rPr>
          <w:rFonts w:ascii="Arial" w:hAnsi="Arial" w:cs="Arial"/>
          <w:b/>
          <w:sz w:val="16"/>
          <w:szCs w:val="16"/>
        </w:rPr>
        <w:t>Southeast Professional Title</w:t>
      </w:r>
      <w:r w:rsidR="00FA7EF6" w:rsidRPr="00E05980">
        <w:rPr>
          <w:rFonts w:ascii="Arial" w:hAnsi="Arial" w:cs="Arial"/>
          <w:sz w:val="16"/>
          <w:szCs w:val="16"/>
        </w:rPr>
        <w:t xml:space="preserve">, </w:t>
      </w:r>
      <w:r w:rsidRPr="00E05980">
        <w:rPr>
          <w:rFonts w:ascii="Arial" w:hAnsi="Arial" w:cs="Arial"/>
          <w:sz w:val="16"/>
          <w:szCs w:val="16"/>
        </w:rPr>
        <w:t xml:space="preserve">if acting as escrow agent, may </w:t>
      </w:r>
      <w:r w:rsidR="006A5877" w:rsidRPr="00E05980">
        <w:rPr>
          <w:rFonts w:ascii="Arial" w:hAnsi="Arial" w:cs="Arial"/>
          <w:sz w:val="16"/>
          <w:szCs w:val="16"/>
        </w:rPr>
        <w:t>deposit the escrowed</w:t>
      </w:r>
      <w:r w:rsidR="00964699" w:rsidRPr="00E05980">
        <w:rPr>
          <w:rFonts w:ascii="Arial" w:hAnsi="Arial" w:cs="Arial"/>
          <w:sz w:val="16"/>
          <w:szCs w:val="16"/>
        </w:rPr>
        <w:t xml:space="preserve"> funds in a non-interest bearing account with a financial institution chosen by</w:t>
      </w:r>
      <w:r w:rsidR="00517CDF" w:rsidRPr="00517CDF">
        <w:rPr>
          <w:rFonts w:ascii="Arial" w:hAnsi="Arial" w:cs="Arial"/>
          <w:b/>
          <w:sz w:val="16"/>
          <w:szCs w:val="16"/>
        </w:rPr>
        <w:t xml:space="preserve"> </w:t>
      </w:r>
      <w:r w:rsidR="00517CDF">
        <w:rPr>
          <w:rFonts w:ascii="Arial" w:hAnsi="Arial" w:cs="Arial"/>
          <w:b/>
          <w:sz w:val="16"/>
          <w:szCs w:val="16"/>
        </w:rPr>
        <w:t xml:space="preserve">Southeast Professional </w:t>
      </w:r>
      <w:proofErr w:type="spellStart"/>
      <w:r w:rsidR="00517CDF">
        <w:rPr>
          <w:rFonts w:ascii="Arial" w:hAnsi="Arial" w:cs="Arial"/>
          <w:b/>
          <w:sz w:val="16"/>
          <w:szCs w:val="16"/>
        </w:rPr>
        <w:t>Title</w:t>
      </w:r>
      <w:r w:rsidR="00FA7EF6" w:rsidRPr="00E05980">
        <w:rPr>
          <w:rFonts w:ascii="Arial" w:hAnsi="Arial" w:cs="Arial"/>
          <w:sz w:val="16"/>
          <w:szCs w:val="16"/>
        </w:rPr>
        <w:t>,</w:t>
      </w:r>
      <w:r w:rsidR="00964699" w:rsidRPr="00E05980">
        <w:rPr>
          <w:rFonts w:ascii="Arial" w:hAnsi="Arial" w:cs="Arial"/>
          <w:sz w:val="16"/>
          <w:szCs w:val="16"/>
        </w:rPr>
        <w:t>and</w:t>
      </w:r>
      <w:proofErr w:type="spellEnd"/>
      <w:r w:rsidR="00FA7EF6" w:rsidRPr="00E05980">
        <w:rPr>
          <w:rFonts w:ascii="Arial" w:hAnsi="Arial" w:cs="Arial"/>
          <w:sz w:val="16"/>
          <w:szCs w:val="16"/>
        </w:rPr>
        <w:t xml:space="preserve"> that the financial institution,</w:t>
      </w:r>
      <w:r w:rsidR="00517CDF" w:rsidRPr="00517CDF">
        <w:rPr>
          <w:rFonts w:ascii="Arial" w:hAnsi="Arial" w:cs="Arial"/>
          <w:b/>
          <w:sz w:val="16"/>
          <w:szCs w:val="16"/>
        </w:rPr>
        <w:t xml:space="preserve"> </w:t>
      </w:r>
      <w:r w:rsidR="00517CDF">
        <w:rPr>
          <w:rFonts w:ascii="Arial" w:hAnsi="Arial" w:cs="Arial"/>
          <w:b/>
          <w:sz w:val="16"/>
          <w:szCs w:val="16"/>
        </w:rPr>
        <w:t>Southeast Professional Title</w:t>
      </w:r>
      <w:r w:rsidR="00FA7EF6" w:rsidRPr="00E05980">
        <w:rPr>
          <w:rFonts w:ascii="Arial" w:hAnsi="Arial" w:cs="Arial"/>
          <w:sz w:val="16"/>
          <w:szCs w:val="16"/>
        </w:rPr>
        <w:t xml:space="preserve"> </w:t>
      </w:r>
      <w:r w:rsidR="00EA5686" w:rsidRPr="00E05980">
        <w:rPr>
          <w:rFonts w:ascii="Arial" w:hAnsi="Arial" w:cs="Arial"/>
          <w:sz w:val="16"/>
          <w:szCs w:val="16"/>
        </w:rPr>
        <w:t xml:space="preserve">, </w:t>
      </w:r>
      <w:r w:rsidR="006A5877" w:rsidRPr="00E05980">
        <w:rPr>
          <w:rFonts w:ascii="Arial" w:hAnsi="Arial" w:cs="Arial"/>
          <w:sz w:val="16"/>
          <w:szCs w:val="16"/>
        </w:rPr>
        <w:t>o</w:t>
      </w:r>
      <w:r w:rsidR="00964699" w:rsidRPr="00E05980">
        <w:rPr>
          <w:rFonts w:ascii="Arial" w:hAnsi="Arial" w:cs="Arial"/>
          <w:sz w:val="16"/>
          <w:szCs w:val="16"/>
        </w:rPr>
        <w:t xml:space="preserve">r any of </w:t>
      </w:r>
      <w:r w:rsidR="00A7711E" w:rsidRPr="00E05980">
        <w:rPr>
          <w:rFonts w:ascii="Arial" w:hAnsi="Arial" w:cs="Arial"/>
          <w:sz w:val="16"/>
          <w:szCs w:val="16"/>
        </w:rPr>
        <w:t>its related</w:t>
      </w:r>
      <w:r w:rsidR="00964699" w:rsidRPr="00E05980">
        <w:rPr>
          <w:rFonts w:ascii="Arial" w:hAnsi="Arial" w:cs="Arial"/>
          <w:sz w:val="16"/>
          <w:szCs w:val="16"/>
        </w:rPr>
        <w:t xml:space="preserve"> companies may obtain a direct or indirect benefit in connection with such deposit.</w:t>
      </w:r>
    </w:p>
    <w:p w:rsidR="00FA7EF6" w:rsidRPr="00E05980" w:rsidRDefault="00FA7EF6">
      <w:pPr>
        <w:rPr>
          <w:rFonts w:ascii="Arial" w:hAnsi="Arial" w:cs="Arial"/>
          <w:color w:val="4A442A" w:themeColor="background2" w:themeShade="40"/>
          <w:sz w:val="16"/>
          <w:szCs w:val="16"/>
        </w:rPr>
      </w:pPr>
      <w:proofErr w:type="gramStart"/>
      <w:r w:rsidRPr="00E05980">
        <w:rPr>
          <w:rFonts w:ascii="Arial" w:hAnsi="Arial" w:cs="Arial"/>
          <w:sz w:val="16"/>
          <w:szCs w:val="16"/>
        </w:rPr>
        <w:t>5.</w:t>
      </w:r>
      <w:r w:rsidR="00EA5686" w:rsidRPr="00E05980">
        <w:rPr>
          <w:rFonts w:ascii="Arial" w:hAnsi="Arial" w:cs="Arial"/>
          <w:sz w:val="16"/>
          <w:szCs w:val="16"/>
          <w:u w:val="single"/>
        </w:rPr>
        <w:t>Third</w:t>
      </w:r>
      <w:proofErr w:type="gramEnd"/>
      <w:r w:rsidR="00EA5686" w:rsidRPr="00E05980">
        <w:rPr>
          <w:rFonts w:ascii="Arial" w:hAnsi="Arial" w:cs="Arial"/>
          <w:sz w:val="16"/>
          <w:szCs w:val="16"/>
          <w:u w:val="single"/>
        </w:rPr>
        <w:t xml:space="preserve"> party Vendors. </w:t>
      </w:r>
      <w:r w:rsidR="00EA5686" w:rsidRPr="00E05980">
        <w:rPr>
          <w:rFonts w:ascii="Arial" w:hAnsi="Arial" w:cs="Arial"/>
          <w:sz w:val="16"/>
          <w:szCs w:val="16"/>
        </w:rPr>
        <w:t xml:space="preserve">  As a </w:t>
      </w:r>
      <w:r w:rsidR="00DA4D56" w:rsidRPr="00E05980">
        <w:rPr>
          <w:rFonts w:ascii="Arial" w:hAnsi="Arial" w:cs="Arial"/>
          <w:sz w:val="16"/>
          <w:szCs w:val="16"/>
        </w:rPr>
        <w:t>courtesy, Broker</w:t>
      </w:r>
      <w:r w:rsidR="00EA5686" w:rsidRPr="00E05980">
        <w:rPr>
          <w:rFonts w:ascii="Arial" w:hAnsi="Arial" w:cs="Arial"/>
          <w:sz w:val="16"/>
          <w:szCs w:val="16"/>
        </w:rPr>
        <w:t xml:space="preserve"> may provide you with one or more names of services providers </w:t>
      </w:r>
      <w:r w:rsidR="00DA4D56" w:rsidRPr="00E05980">
        <w:rPr>
          <w:rFonts w:ascii="Arial" w:hAnsi="Arial" w:cs="Arial"/>
          <w:sz w:val="16"/>
          <w:szCs w:val="16"/>
        </w:rPr>
        <w:t>including, but</w:t>
      </w:r>
      <w:r w:rsidR="00EA5686" w:rsidRPr="00E05980">
        <w:rPr>
          <w:rFonts w:ascii="Arial" w:hAnsi="Arial" w:cs="Arial"/>
          <w:sz w:val="16"/>
          <w:szCs w:val="16"/>
        </w:rPr>
        <w:t xml:space="preserve"> not limited to home inspectors,</w:t>
      </w:r>
      <w:r w:rsidR="00DA4D56" w:rsidRPr="00E05980">
        <w:rPr>
          <w:rFonts w:ascii="Arial" w:hAnsi="Arial" w:cs="Arial"/>
          <w:sz w:val="16"/>
          <w:szCs w:val="16"/>
        </w:rPr>
        <w:t xml:space="preserve"> </w:t>
      </w:r>
      <w:r w:rsidR="00EA5686" w:rsidRPr="00E05980">
        <w:rPr>
          <w:rFonts w:ascii="Arial" w:hAnsi="Arial" w:cs="Arial"/>
          <w:sz w:val="16"/>
          <w:szCs w:val="16"/>
        </w:rPr>
        <w:t>engineers,</w:t>
      </w:r>
      <w:r w:rsidR="00DA4D56" w:rsidRPr="00E05980">
        <w:rPr>
          <w:rFonts w:ascii="Arial" w:hAnsi="Arial" w:cs="Arial"/>
          <w:sz w:val="16"/>
          <w:szCs w:val="16"/>
        </w:rPr>
        <w:t xml:space="preserve"> </w:t>
      </w:r>
      <w:r w:rsidR="00EA5686" w:rsidRPr="00E05980">
        <w:rPr>
          <w:rFonts w:ascii="Arial" w:hAnsi="Arial" w:cs="Arial"/>
          <w:sz w:val="16"/>
          <w:szCs w:val="16"/>
        </w:rPr>
        <w:t>contractors,</w:t>
      </w:r>
      <w:r w:rsidR="00DA4D56" w:rsidRPr="00E05980">
        <w:rPr>
          <w:rFonts w:ascii="Arial" w:hAnsi="Arial" w:cs="Arial"/>
          <w:sz w:val="16"/>
          <w:szCs w:val="16"/>
        </w:rPr>
        <w:t xml:space="preserve"> </w:t>
      </w:r>
      <w:r w:rsidR="00EA5686" w:rsidRPr="00E05980">
        <w:rPr>
          <w:rFonts w:ascii="Arial" w:hAnsi="Arial" w:cs="Arial"/>
          <w:sz w:val="16"/>
          <w:szCs w:val="16"/>
        </w:rPr>
        <w:t>repairpersons,</w:t>
      </w:r>
      <w:r w:rsidR="00DA4D56" w:rsidRPr="00E05980">
        <w:rPr>
          <w:rFonts w:ascii="Arial" w:hAnsi="Arial" w:cs="Arial"/>
          <w:sz w:val="16"/>
          <w:szCs w:val="16"/>
        </w:rPr>
        <w:t xml:space="preserve"> </w:t>
      </w:r>
      <w:r w:rsidR="00EA5686" w:rsidRPr="00E05980">
        <w:rPr>
          <w:rFonts w:ascii="Arial" w:hAnsi="Arial" w:cs="Arial"/>
          <w:sz w:val="16"/>
          <w:szCs w:val="16"/>
        </w:rPr>
        <w:t xml:space="preserve">moving </w:t>
      </w:r>
      <w:r w:rsidR="00DA4D56" w:rsidRPr="00E05980">
        <w:rPr>
          <w:rFonts w:ascii="Arial" w:hAnsi="Arial" w:cs="Arial"/>
          <w:sz w:val="16"/>
          <w:szCs w:val="16"/>
        </w:rPr>
        <w:t>companies, currency</w:t>
      </w:r>
      <w:r w:rsidR="00EA5686" w:rsidRPr="00E05980">
        <w:rPr>
          <w:rFonts w:ascii="Arial" w:hAnsi="Arial" w:cs="Arial"/>
          <w:sz w:val="16"/>
          <w:szCs w:val="16"/>
        </w:rPr>
        <w:t xml:space="preserve"> exchange </w:t>
      </w:r>
      <w:r w:rsidR="00DA4D56" w:rsidRPr="00E05980">
        <w:rPr>
          <w:rFonts w:ascii="Arial" w:hAnsi="Arial" w:cs="Arial"/>
          <w:sz w:val="16"/>
          <w:szCs w:val="16"/>
        </w:rPr>
        <w:t>companies, home</w:t>
      </w:r>
      <w:r w:rsidR="00EA5686" w:rsidRPr="00E05980">
        <w:rPr>
          <w:rFonts w:ascii="Arial" w:hAnsi="Arial" w:cs="Arial"/>
          <w:sz w:val="16"/>
          <w:szCs w:val="16"/>
        </w:rPr>
        <w:t xml:space="preserve"> warranty </w:t>
      </w:r>
      <w:r w:rsidR="00DA4D56" w:rsidRPr="00E05980">
        <w:rPr>
          <w:rFonts w:ascii="Arial" w:hAnsi="Arial" w:cs="Arial"/>
          <w:sz w:val="16"/>
          <w:szCs w:val="16"/>
        </w:rPr>
        <w:t>companies, concierge</w:t>
      </w:r>
      <w:r w:rsidR="00EA5686" w:rsidRPr="00E05980">
        <w:rPr>
          <w:rFonts w:ascii="Arial" w:hAnsi="Arial" w:cs="Arial"/>
          <w:sz w:val="16"/>
          <w:szCs w:val="16"/>
        </w:rPr>
        <w:t xml:space="preserve"> </w:t>
      </w:r>
      <w:r w:rsidR="00DA4D56" w:rsidRPr="00E05980">
        <w:rPr>
          <w:rFonts w:ascii="Arial" w:hAnsi="Arial" w:cs="Arial"/>
          <w:sz w:val="16"/>
          <w:szCs w:val="16"/>
        </w:rPr>
        <w:t>services, or</w:t>
      </w:r>
      <w:r w:rsidR="00EA5686" w:rsidRPr="00E05980">
        <w:rPr>
          <w:rFonts w:ascii="Arial" w:hAnsi="Arial" w:cs="Arial"/>
          <w:sz w:val="16"/>
          <w:szCs w:val="16"/>
        </w:rPr>
        <w:t xml:space="preserve"> attorneys that other consumers have used or of whom we are </w:t>
      </w:r>
      <w:r w:rsidR="00DA4D56" w:rsidRPr="00E05980">
        <w:rPr>
          <w:rFonts w:ascii="Arial" w:hAnsi="Arial" w:cs="Arial"/>
          <w:sz w:val="16"/>
          <w:szCs w:val="16"/>
        </w:rPr>
        <w:t>aware. Our</w:t>
      </w:r>
      <w:r w:rsidR="00EA5686" w:rsidRPr="00E05980">
        <w:rPr>
          <w:rFonts w:ascii="Arial" w:hAnsi="Arial" w:cs="Arial"/>
          <w:sz w:val="16"/>
          <w:szCs w:val="16"/>
        </w:rPr>
        <w:t xml:space="preserve"> doing so shall not in any way be construed to be</w:t>
      </w:r>
      <w:r w:rsidR="00323F5B" w:rsidRPr="00E05980">
        <w:rPr>
          <w:rFonts w:ascii="Arial" w:hAnsi="Arial" w:cs="Arial"/>
          <w:sz w:val="16"/>
          <w:szCs w:val="16"/>
        </w:rPr>
        <w:t xml:space="preserve"> a recommendation or endorsement off nor is Broker warranting the work of any such providers. The final choice of any service provider rests solely with </w:t>
      </w:r>
      <w:r w:rsidR="00DA4D56" w:rsidRPr="00E05980">
        <w:rPr>
          <w:rFonts w:ascii="Arial" w:hAnsi="Arial" w:cs="Arial"/>
          <w:sz w:val="16"/>
          <w:szCs w:val="16"/>
        </w:rPr>
        <w:t>you, wether</w:t>
      </w:r>
      <w:r w:rsidR="00323F5B" w:rsidRPr="00E05980">
        <w:rPr>
          <w:rFonts w:ascii="Arial" w:hAnsi="Arial" w:cs="Arial"/>
          <w:sz w:val="16"/>
          <w:szCs w:val="16"/>
        </w:rPr>
        <w:t xml:space="preserve"> the name appears on any list or </w:t>
      </w:r>
      <w:r w:rsidR="00DA4D56" w:rsidRPr="00E05980">
        <w:rPr>
          <w:rFonts w:ascii="Arial" w:hAnsi="Arial" w:cs="Arial"/>
          <w:sz w:val="16"/>
          <w:szCs w:val="16"/>
        </w:rPr>
        <w:t>not. You</w:t>
      </w:r>
      <w:r w:rsidR="00323F5B" w:rsidRPr="00E05980">
        <w:rPr>
          <w:rFonts w:ascii="Arial" w:hAnsi="Arial" w:cs="Arial"/>
          <w:sz w:val="16"/>
          <w:szCs w:val="16"/>
        </w:rPr>
        <w:t xml:space="preserve"> agree to </w:t>
      </w:r>
      <w:r w:rsidR="00DA4D56" w:rsidRPr="00E05980">
        <w:rPr>
          <w:rFonts w:ascii="Arial" w:hAnsi="Arial" w:cs="Arial"/>
          <w:sz w:val="16"/>
          <w:szCs w:val="16"/>
        </w:rPr>
        <w:t>release, hold</w:t>
      </w:r>
      <w:r w:rsidR="00323F5B" w:rsidRPr="00E05980">
        <w:rPr>
          <w:rFonts w:ascii="Arial" w:hAnsi="Arial" w:cs="Arial"/>
          <w:sz w:val="16"/>
          <w:szCs w:val="16"/>
        </w:rPr>
        <w:t xml:space="preserve"> harmless and indemnify Broker from all claims or losses that in any way arise out </w:t>
      </w:r>
      <w:r w:rsidR="00DA4D56" w:rsidRPr="00E05980">
        <w:rPr>
          <w:rFonts w:ascii="Arial" w:hAnsi="Arial" w:cs="Arial"/>
          <w:sz w:val="16"/>
          <w:szCs w:val="16"/>
        </w:rPr>
        <w:t>of, or</w:t>
      </w:r>
      <w:r w:rsidR="00323F5B" w:rsidRPr="00E05980">
        <w:rPr>
          <w:rFonts w:ascii="Arial" w:hAnsi="Arial" w:cs="Arial"/>
          <w:sz w:val="16"/>
          <w:szCs w:val="16"/>
        </w:rPr>
        <w:t xml:space="preserve"> related </w:t>
      </w:r>
      <w:r w:rsidR="00DA4D56" w:rsidRPr="00E05980">
        <w:rPr>
          <w:rFonts w:ascii="Arial" w:hAnsi="Arial" w:cs="Arial"/>
          <w:sz w:val="16"/>
          <w:szCs w:val="16"/>
        </w:rPr>
        <w:t>to, the</w:t>
      </w:r>
      <w:r w:rsidR="00323F5B" w:rsidRPr="00E05980">
        <w:rPr>
          <w:rFonts w:ascii="Arial" w:hAnsi="Arial" w:cs="Arial"/>
          <w:sz w:val="16"/>
          <w:szCs w:val="16"/>
        </w:rPr>
        <w:t xml:space="preserve"> selection or use of any such service </w:t>
      </w:r>
      <w:r w:rsidR="00DA4D56" w:rsidRPr="00E05980">
        <w:rPr>
          <w:rFonts w:ascii="Arial" w:hAnsi="Arial" w:cs="Arial"/>
          <w:sz w:val="16"/>
          <w:szCs w:val="16"/>
        </w:rPr>
        <w:t>provider. Broker</w:t>
      </w:r>
      <w:r w:rsidR="00323F5B" w:rsidRPr="00E05980">
        <w:rPr>
          <w:rFonts w:ascii="Arial" w:hAnsi="Arial" w:cs="Arial"/>
          <w:sz w:val="16"/>
          <w:szCs w:val="16"/>
        </w:rPr>
        <w:t xml:space="preserve"> may recommend the services of the following </w:t>
      </w:r>
      <w:r w:rsidR="00DA4D56" w:rsidRPr="00E05980">
        <w:rPr>
          <w:rFonts w:ascii="Arial" w:hAnsi="Arial" w:cs="Arial"/>
          <w:sz w:val="16"/>
          <w:szCs w:val="16"/>
        </w:rPr>
        <w:t>vendors, from</w:t>
      </w:r>
      <w:r w:rsidR="00323F5B" w:rsidRPr="00E05980">
        <w:rPr>
          <w:rFonts w:ascii="Arial" w:hAnsi="Arial" w:cs="Arial"/>
          <w:sz w:val="16"/>
          <w:szCs w:val="16"/>
        </w:rPr>
        <w:t xml:space="preserve"> whom Broker may or may not derive a direct or indirect benefit in connection with the selection</w:t>
      </w:r>
      <w:r w:rsidR="00DA4D56" w:rsidRPr="00E05980">
        <w:rPr>
          <w:rFonts w:ascii="Arial" w:hAnsi="Arial" w:cs="Arial"/>
          <w:sz w:val="16"/>
          <w:szCs w:val="16"/>
        </w:rPr>
        <w:t xml:space="preserve"> of their services. You are not required to use any of these businesses as a condition for selling this property. If so inclined, you may compare rates with other providers.</w:t>
      </w:r>
    </w:p>
    <w:p w:rsidR="002B721E" w:rsidRPr="00E05980" w:rsidRDefault="00FA7EF6">
      <w:pPr>
        <w:rPr>
          <w:rFonts w:ascii="Arial" w:hAnsi="Arial" w:cs="Arial"/>
          <w:sz w:val="16"/>
          <w:szCs w:val="16"/>
        </w:rPr>
      </w:pPr>
      <w:proofErr w:type="gramStart"/>
      <w:r w:rsidRPr="00E05980">
        <w:rPr>
          <w:rFonts w:ascii="Arial" w:hAnsi="Arial" w:cs="Arial"/>
          <w:sz w:val="16"/>
          <w:szCs w:val="16"/>
        </w:rPr>
        <w:t>6</w:t>
      </w:r>
      <w:r w:rsidR="002B721E" w:rsidRPr="00E05980">
        <w:rPr>
          <w:rFonts w:ascii="Arial" w:hAnsi="Arial" w:cs="Arial"/>
          <w:sz w:val="16"/>
          <w:szCs w:val="16"/>
        </w:rPr>
        <w:t>.</w:t>
      </w:r>
      <w:r w:rsidR="002B721E" w:rsidRPr="00E05980">
        <w:rPr>
          <w:rFonts w:ascii="Arial" w:hAnsi="Arial" w:cs="Arial"/>
          <w:sz w:val="16"/>
          <w:szCs w:val="16"/>
          <w:u w:val="single"/>
        </w:rPr>
        <w:t>Governing</w:t>
      </w:r>
      <w:proofErr w:type="gramEnd"/>
      <w:r w:rsidR="002B721E" w:rsidRPr="00E05980">
        <w:rPr>
          <w:rFonts w:ascii="Arial" w:hAnsi="Arial" w:cs="Arial"/>
          <w:sz w:val="16"/>
          <w:szCs w:val="16"/>
          <w:u w:val="single"/>
        </w:rPr>
        <w:t xml:space="preserve"> Law, Venue, Limitation of liability, and waiver</w:t>
      </w:r>
      <w:r w:rsidR="002B721E" w:rsidRPr="00E05980">
        <w:rPr>
          <w:rFonts w:ascii="Arial" w:hAnsi="Arial" w:cs="Arial"/>
          <w:sz w:val="16"/>
          <w:szCs w:val="16"/>
        </w:rPr>
        <w:t xml:space="preserve">  In the event of any dispute arising out of any way relating to your purchase of property or the relationship between you and your broker, it is agreed that (1) Florida law shall govern (2) venue shall be exclusively in the Florida state court</w:t>
      </w:r>
      <w:r w:rsidR="00BA7D51" w:rsidRPr="00E05980">
        <w:rPr>
          <w:rFonts w:ascii="Arial" w:hAnsi="Arial" w:cs="Arial"/>
          <w:sz w:val="16"/>
          <w:szCs w:val="16"/>
        </w:rPr>
        <w:t>s in the county where the registered agent for broker is located. (3) any claim by you for damages of any nature ( including claim for negligence) shall not exceed the amount of the commission that the broker was paid, or would have been paid in connection with the transaction, (4) BROKER AND YOU KNOWINGLY AND VOLUNTARILY WAIVE ANY CLAIM FOR PUNITIVE DAMAGES AND ANY RIGHTTO A JURY TRIAL IN ANY LITIGATION.</w:t>
      </w:r>
    </w:p>
    <w:p w:rsidR="00BA7D51" w:rsidRPr="00E05980" w:rsidRDefault="00FA7EF6">
      <w:pPr>
        <w:rPr>
          <w:rFonts w:ascii="Arial" w:hAnsi="Arial" w:cs="Arial"/>
          <w:sz w:val="16"/>
          <w:szCs w:val="16"/>
        </w:rPr>
      </w:pPr>
      <w:r w:rsidRPr="00E05980">
        <w:rPr>
          <w:rFonts w:ascii="Arial" w:hAnsi="Arial" w:cs="Arial"/>
          <w:sz w:val="16"/>
          <w:szCs w:val="16"/>
        </w:rPr>
        <w:t>7</w:t>
      </w:r>
      <w:r w:rsidR="00BA7D51" w:rsidRPr="00E05980">
        <w:rPr>
          <w:rFonts w:ascii="Arial" w:hAnsi="Arial" w:cs="Arial"/>
          <w:sz w:val="16"/>
          <w:szCs w:val="16"/>
        </w:rPr>
        <w:t xml:space="preserve">. </w:t>
      </w:r>
      <w:r w:rsidR="00BA7D51" w:rsidRPr="00E05980">
        <w:rPr>
          <w:rFonts w:ascii="Arial" w:hAnsi="Arial" w:cs="Arial"/>
          <w:sz w:val="16"/>
          <w:szCs w:val="16"/>
          <w:u w:val="single"/>
        </w:rPr>
        <w:t>Seller’s Property Disclosure</w:t>
      </w:r>
      <w:r w:rsidR="00BE08C9" w:rsidRPr="00E05980">
        <w:rPr>
          <w:rFonts w:ascii="Arial" w:hAnsi="Arial" w:cs="Arial"/>
          <w:sz w:val="16"/>
          <w:szCs w:val="16"/>
        </w:rPr>
        <w:t>.  Seller is advised that Seller’s failure to complete and deliver a</w:t>
      </w:r>
      <w:r w:rsidR="005A47D9" w:rsidRPr="00E05980">
        <w:rPr>
          <w:rFonts w:ascii="Arial" w:hAnsi="Arial" w:cs="Arial"/>
          <w:sz w:val="16"/>
          <w:szCs w:val="16"/>
        </w:rPr>
        <w:t xml:space="preserve"> </w:t>
      </w:r>
      <w:r w:rsidR="00BE08C9" w:rsidRPr="00E05980">
        <w:rPr>
          <w:rFonts w:ascii="Arial" w:hAnsi="Arial" w:cs="Arial"/>
          <w:sz w:val="16"/>
          <w:szCs w:val="16"/>
        </w:rPr>
        <w:t xml:space="preserve">written disclosure form may be adverse to Seller’s interests by potentially exposing seller to increased risk of liability. </w:t>
      </w:r>
    </w:p>
    <w:p w:rsidR="00D02B64" w:rsidRPr="00E05980" w:rsidRDefault="00FA7EF6">
      <w:pPr>
        <w:rPr>
          <w:rFonts w:ascii="Arial" w:hAnsi="Arial" w:cs="Arial"/>
          <w:sz w:val="16"/>
          <w:szCs w:val="16"/>
        </w:rPr>
      </w:pPr>
      <w:r w:rsidRPr="00E05980">
        <w:rPr>
          <w:rFonts w:ascii="Arial" w:hAnsi="Arial" w:cs="Arial"/>
          <w:sz w:val="16"/>
          <w:szCs w:val="16"/>
        </w:rPr>
        <w:t>8</w:t>
      </w:r>
      <w:r w:rsidR="00BA7D51" w:rsidRPr="00E05980">
        <w:rPr>
          <w:rFonts w:ascii="Arial" w:hAnsi="Arial" w:cs="Arial"/>
          <w:sz w:val="16"/>
          <w:szCs w:val="16"/>
        </w:rPr>
        <w:t>.</w:t>
      </w:r>
      <w:r w:rsidR="00A7711E" w:rsidRPr="00E05980">
        <w:rPr>
          <w:rFonts w:ascii="Arial" w:hAnsi="Arial" w:cs="Arial"/>
          <w:sz w:val="16"/>
          <w:szCs w:val="16"/>
        </w:rPr>
        <w:t xml:space="preserve"> </w:t>
      </w:r>
      <w:r w:rsidR="00A7711E" w:rsidRPr="00E05980">
        <w:rPr>
          <w:rFonts w:ascii="Arial" w:hAnsi="Arial" w:cs="Arial"/>
          <w:sz w:val="16"/>
          <w:szCs w:val="16"/>
          <w:u w:val="single"/>
        </w:rPr>
        <w:t>Savings Clause</w:t>
      </w:r>
      <w:r w:rsidR="00A7711E" w:rsidRPr="00E05980">
        <w:rPr>
          <w:rFonts w:ascii="Arial" w:hAnsi="Arial" w:cs="Arial"/>
          <w:sz w:val="16"/>
          <w:szCs w:val="16"/>
        </w:rPr>
        <w:t>.  If any provision herein is deemed invalid or unenforceable, the remaining provisions shall remain valid and enforceable.</w:t>
      </w:r>
    </w:p>
    <w:p w:rsidR="00517CDF" w:rsidRDefault="00FA7EF6" w:rsidP="00404681">
      <w:pPr>
        <w:rPr>
          <w:rFonts w:ascii="Arial" w:hAnsi="Arial" w:cs="Arial"/>
          <w:b/>
          <w:sz w:val="16"/>
          <w:szCs w:val="16"/>
        </w:rPr>
      </w:pPr>
      <w:r w:rsidRPr="00E05980">
        <w:rPr>
          <w:rFonts w:ascii="Arial" w:hAnsi="Arial" w:cs="Arial"/>
          <w:sz w:val="16"/>
          <w:szCs w:val="16"/>
        </w:rPr>
        <w:t>9.</w:t>
      </w:r>
      <w:r w:rsidR="00A7711E" w:rsidRPr="00E05980">
        <w:rPr>
          <w:rFonts w:ascii="Arial" w:hAnsi="Arial" w:cs="Arial"/>
          <w:sz w:val="16"/>
          <w:szCs w:val="16"/>
        </w:rPr>
        <w:t xml:space="preserve"> </w:t>
      </w:r>
      <w:r w:rsidR="00A7711E" w:rsidRPr="00E05980">
        <w:rPr>
          <w:rFonts w:ascii="Arial" w:hAnsi="Arial" w:cs="Arial"/>
          <w:sz w:val="16"/>
          <w:szCs w:val="16"/>
          <w:u w:val="single"/>
        </w:rPr>
        <w:t>Additional Disclosures</w:t>
      </w:r>
      <w:r w:rsidR="002B0384" w:rsidRPr="00E05980">
        <w:rPr>
          <w:rFonts w:ascii="Arial" w:hAnsi="Arial" w:cs="Arial"/>
          <w:sz w:val="16"/>
          <w:szCs w:val="16"/>
          <w:u w:val="single"/>
        </w:rPr>
        <w:t>.</w:t>
      </w:r>
      <w:r w:rsidR="00A7711E" w:rsidRPr="00E05980">
        <w:rPr>
          <w:rFonts w:ascii="Arial" w:hAnsi="Arial" w:cs="Arial"/>
          <w:sz w:val="16"/>
          <w:szCs w:val="16"/>
        </w:rPr>
        <w:t xml:space="preserve"> Buyer hereby acknowledges receipt of the following disclosures as applicable: privacy </w:t>
      </w:r>
      <w:r w:rsidR="002B0384" w:rsidRPr="00E05980">
        <w:rPr>
          <w:rFonts w:ascii="Arial" w:hAnsi="Arial" w:cs="Arial"/>
          <w:sz w:val="16"/>
          <w:szCs w:val="16"/>
        </w:rPr>
        <w:t xml:space="preserve">act disclosure, Chinese Drywall disclosure, Private golf and country club disclosure and hold harmless, Affiliated Business Arrangement Disclosure statement notice. </w:t>
      </w:r>
      <w:r w:rsidR="00517CDF">
        <w:rPr>
          <w:rFonts w:ascii="Arial" w:hAnsi="Arial" w:cs="Arial"/>
          <w:b/>
          <w:sz w:val="16"/>
          <w:szCs w:val="16"/>
        </w:rPr>
        <w:t xml:space="preserve">                                                                                                                                                          </w:t>
      </w:r>
      <w:r w:rsidR="006E4C79">
        <w:rPr>
          <w:rFonts w:ascii="Arial" w:hAnsi="Arial" w:cs="Arial"/>
          <w:b/>
          <w:sz w:val="16"/>
          <w:szCs w:val="16"/>
        </w:rPr>
        <w:t xml:space="preserve">                                       </w:t>
      </w:r>
      <w:proofErr w:type="gramStart"/>
      <w:r w:rsidR="00A7711E" w:rsidRPr="00F324C4">
        <w:rPr>
          <w:rFonts w:ascii="Arial" w:hAnsi="Arial" w:cs="Arial"/>
          <w:b/>
          <w:sz w:val="16"/>
          <w:szCs w:val="16"/>
        </w:rPr>
        <w:t>The</w:t>
      </w:r>
      <w:r w:rsidR="006E4C79">
        <w:rPr>
          <w:rFonts w:ascii="Arial" w:hAnsi="Arial" w:cs="Arial"/>
          <w:b/>
          <w:sz w:val="16"/>
          <w:szCs w:val="16"/>
        </w:rPr>
        <w:t xml:space="preserve"> </w:t>
      </w:r>
      <w:r w:rsidR="00A7711E" w:rsidRPr="00F324C4">
        <w:rPr>
          <w:rFonts w:ascii="Arial" w:hAnsi="Arial" w:cs="Arial"/>
          <w:b/>
          <w:sz w:val="16"/>
          <w:szCs w:val="16"/>
        </w:rPr>
        <w:t xml:space="preserve"> undersigned</w:t>
      </w:r>
      <w:proofErr w:type="gramEnd"/>
      <w:r w:rsidR="00A7711E" w:rsidRPr="00F324C4">
        <w:rPr>
          <w:rFonts w:ascii="Arial" w:hAnsi="Arial" w:cs="Arial"/>
          <w:b/>
          <w:sz w:val="16"/>
          <w:szCs w:val="16"/>
        </w:rPr>
        <w:t xml:space="preserve"> agree to the foregoing </w:t>
      </w:r>
      <w:r w:rsidR="006E4C79">
        <w:rPr>
          <w:rFonts w:ascii="Arial" w:hAnsi="Arial" w:cs="Arial"/>
          <w:b/>
          <w:sz w:val="16"/>
          <w:szCs w:val="16"/>
        </w:rPr>
        <w:t xml:space="preserve"> </w:t>
      </w:r>
      <w:bookmarkStart w:id="0" w:name="_GoBack"/>
      <w:bookmarkEnd w:id="0"/>
      <w:r w:rsidR="00A7711E" w:rsidRPr="00F324C4">
        <w:rPr>
          <w:rFonts w:ascii="Arial" w:hAnsi="Arial" w:cs="Arial"/>
          <w:b/>
          <w:sz w:val="16"/>
          <w:szCs w:val="16"/>
        </w:rPr>
        <w:t>as a condition of Broker’s transaction representation.</w:t>
      </w:r>
    </w:p>
    <w:p w:rsidR="00E05980" w:rsidRPr="00517CDF" w:rsidRDefault="0093565B" w:rsidP="00404681">
      <w:pPr>
        <w:rPr>
          <w:rFonts w:ascii="Arial" w:hAnsi="Arial" w:cs="Arial"/>
          <w:b/>
          <w:sz w:val="16"/>
          <w:szCs w:val="16"/>
        </w:rPr>
      </w:pPr>
      <w:r w:rsidRPr="00E05980">
        <w:rPr>
          <w:rFonts w:ascii="Arial" w:hAnsi="Arial" w:cs="Arial"/>
          <w:sz w:val="16"/>
          <w:szCs w:val="16"/>
        </w:rPr>
        <w:t>Seller</w:t>
      </w:r>
      <w:r w:rsidR="00A7711E" w:rsidRPr="00E05980">
        <w:rPr>
          <w:rFonts w:ascii="Arial" w:hAnsi="Arial" w:cs="Arial"/>
          <w:sz w:val="16"/>
          <w:szCs w:val="16"/>
        </w:rPr>
        <w:t>_________________________________________</w:t>
      </w:r>
      <w:r w:rsidR="00E05980">
        <w:rPr>
          <w:rFonts w:ascii="Arial" w:hAnsi="Arial" w:cs="Arial"/>
          <w:sz w:val="16"/>
          <w:szCs w:val="16"/>
        </w:rPr>
        <w:t>/</w:t>
      </w:r>
      <w:r w:rsidR="00A7711E" w:rsidRPr="00E05980">
        <w:rPr>
          <w:rFonts w:ascii="Arial" w:hAnsi="Arial" w:cs="Arial"/>
          <w:sz w:val="16"/>
          <w:szCs w:val="16"/>
        </w:rPr>
        <w:t>__</w:t>
      </w:r>
      <w:r w:rsidR="00E05980">
        <w:rPr>
          <w:rFonts w:ascii="Arial" w:hAnsi="Arial" w:cs="Arial"/>
          <w:sz w:val="16"/>
          <w:szCs w:val="16"/>
        </w:rPr>
        <w:t>/</w:t>
      </w:r>
      <w:r w:rsidR="00A7711E" w:rsidRPr="00E05980">
        <w:rPr>
          <w:rFonts w:ascii="Arial" w:hAnsi="Arial" w:cs="Arial"/>
          <w:sz w:val="16"/>
          <w:szCs w:val="16"/>
        </w:rPr>
        <w:t>___</w:t>
      </w:r>
      <w:r w:rsidR="00E05980">
        <w:rPr>
          <w:rFonts w:ascii="Arial" w:hAnsi="Arial" w:cs="Arial"/>
          <w:sz w:val="16"/>
          <w:szCs w:val="16"/>
        </w:rPr>
        <w:t xml:space="preserve">      </w:t>
      </w:r>
      <w:r w:rsidR="00A7711E" w:rsidRPr="00E05980">
        <w:rPr>
          <w:rFonts w:ascii="Arial" w:hAnsi="Arial" w:cs="Arial"/>
          <w:sz w:val="16"/>
          <w:szCs w:val="16"/>
        </w:rPr>
        <w:t xml:space="preserve">  </w:t>
      </w:r>
      <w:r w:rsidR="00E05980">
        <w:rPr>
          <w:rFonts w:ascii="Arial" w:hAnsi="Arial" w:cs="Arial"/>
          <w:sz w:val="16"/>
          <w:szCs w:val="16"/>
        </w:rPr>
        <w:t>Seller__________________________________/____/____</w:t>
      </w:r>
    </w:p>
    <w:sectPr w:rsidR="00E05980" w:rsidRPr="00517C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altName w:val="MV Boli"/>
    <w:panose1 w:val="020F050202020403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7C59B5"/>
    <w:multiLevelType w:val="hybridMultilevel"/>
    <w:tmpl w:val="407406E8"/>
    <w:lvl w:ilvl="0" w:tplc="BAA859C8">
      <w:start w:val="1"/>
      <w:numFmt w:val="decimal"/>
      <w:lvlText w:val="%1."/>
      <w:lvlJc w:val="right"/>
      <w:pPr>
        <w:ind w:left="17587" w:hanging="360"/>
      </w:pPr>
      <w:rPr>
        <w:rFonts w:hint="default"/>
      </w:rPr>
    </w:lvl>
    <w:lvl w:ilvl="1" w:tplc="04090019" w:tentative="1">
      <w:start w:val="1"/>
      <w:numFmt w:val="lowerLetter"/>
      <w:lvlText w:val="%2."/>
      <w:lvlJc w:val="left"/>
      <w:pPr>
        <w:ind w:left="18307" w:hanging="360"/>
      </w:pPr>
    </w:lvl>
    <w:lvl w:ilvl="2" w:tplc="0409001B" w:tentative="1">
      <w:start w:val="1"/>
      <w:numFmt w:val="lowerRoman"/>
      <w:lvlText w:val="%3."/>
      <w:lvlJc w:val="right"/>
      <w:pPr>
        <w:ind w:left="19027" w:hanging="180"/>
      </w:pPr>
    </w:lvl>
    <w:lvl w:ilvl="3" w:tplc="0409000F" w:tentative="1">
      <w:start w:val="1"/>
      <w:numFmt w:val="decimal"/>
      <w:lvlText w:val="%4."/>
      <w:lvlJc w:val="left"/>
      <w:pPr>
        <w:ind w:left="19747" w:hanging="360"/>
      </w:pPr>
    </w:lvl>
    <w:lvl w:ilvl="4" w:tplc="04090019" w:tentative="1">
      <w:start w:val="1"/>
      <w:numFmt w:val="lowerLetter"/>
      <w:lvlText w:val="%5."/>
      <w:lvlJc w:val="left"/>
      <w:pPr>
        <w:ind w:left="20467" w:hanging="360"/>
      </w:pPr>
    </w:lvl>
    <w:lvl w:ilvl="5" w:tplc="0409001B" w:tentative="1">
      <w:start w:val="1"/>
      <w:numFmt w:val="lowerRoman"/>
      <w:lvlText w:val="%6."/>
      <w:lvlJc w:val="right"/>
      <w:pPr>
        <w:ind w:left="21187" w:hanging="180"/>
      </w:pPr>
    </w:lvl>
    <w:lvl w:ilvl="6" w:tplc="0409000F" w:tentative="1">
      <w:start w:val="1"/>
      <w:numFmt w:val="decimal"/>
      <w:lvlText w:val="%7."/>
      <w:lvlJc w:val="left"/>
      <w:pPr>
        <w:ind w:left="21907" w:hanging="360"/>
      </w:pPr>
    </w:lvl>
    <w:lvl w:ilvl="7" w:tplc="04090019" w:tentative="1">
      <w:start w:val="1"/>
      <w:numFmt w:val="lowerLetter"/>
      <w:lvlText w:val="%8."/>
      <w:lvlJc w:val="left"/>
      <w:pPr>
        <w:ind w:left="22627" w:hanging="360"/>
      </w:pPr>
    </w:lvl>
    <w:lvl w:ilvl="8" w:tplc="0409001B" w:tentative="1">
      <w:start w:val="1"/>
      <w:numFmt w:val="lowerRoman"/>
      <w:lvlText w:val="%9."/>
      <w:lvlJc w:val="right"/>
      <w:pPr>
        <w:ind w:left="2334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887"/>
    <w:rsid w:val="000274A1"/>
    <w:rsid w:val="00094451"/>
    <w:rsid w:val="00106B77"/>
    <w:rsid w:val="002B0384"/>
    <w:rsid w:val="002B721E"/>
    <w:rsid w:val="00323F5B"/>
    <w:rsid w:val="00404681"/>
    <w:rsid w:val="004B59F3"/>
    <w:rsid w:val="00517CDF"/>
    <w:rsid w:val="00560887"/>
    <w:rsid w:val="005A47D9"/>
    <w:rsid w:val="005F5A87"/>
    <w:rsid w:val="006A5877"/>
    <w:rsid w:val="006D67D4"/>
    <w:rsid w:val="006E4C79"/>
    <w:rsid w:val="006F7ED6"/>
    <w:rsid w:val="00743A53"/>
    <w:rsid w:val="0093565B"/>
    <w:rsid w:val="00957CED"/>
    <w:rsid w:val="00964699"/>
    <w:rsid w:val="00A242F6"/>
    <w:rsid w:val="00A6159A"/>
    <w:rsid w:val="00A65A45"/>
    <w:rsid w:val="00A7711E"/>
    <w:rsid w:val="00AA7488"/>
    <w:rsid w:val="00B05C0F"/>
    <w:rsid w:val="00B22DD1"/>
    <w:rsid w:val="00BA7D51"/>
    <w:rsid w:val="00BE08C9"/>
    <w:rsid w:val="00C854DA"/>
    <w:rsid w:val="00CD3B24"/>
    <w:rsid w:val="00CE7754"/>
    <w:rsid w:val="00D02B64"/>
    <w:rsid w:val="00D04A94"/>
    <w:rsid w:val="00DA4D56"/>
    <w:rsid w:val="00E05980"/>
    <w:rsid w:val="00E73F8D"/>
    <w:rsid w:val="00EA5686"/>
    <w:rsid w:val="00EF3538"/>
    <w:rsid w:val="00F324C4"/>
    <w:rsid w:val="00FA7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08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887"/>
    <w:rPr>
      <w:rFonts w:ascii="Tahoma" w:hAnsi="Tahoma" w:cs="Tahoma"/>
      <w:sz w:val="16"/>
      <w:szCs w:val="16"/>
    </w:rPr>
  </w:style>
  <w:style w:type="paragraph" w:styleId="ListParagraph">
    <w:name w:val="List Paragraph"/>
    <w:basedOn w:val="Normal"/>
    <w:uiPriority w:val="34"/>
    <w:qFormat/>
    <w:rsid w:val="00560887"/>
    <w:pPr>
      <w:ind w:left="720"/>
      <w:contextualSpacing/>
    </w:pPr>
  </w:style>
  <w:style w:type="character" w:styleId="Hyperlink">
    <w:name w:val="Hyperlink"/>
    <w:basedOn w:val="DefaultParagraphFont"/>
    <w:uiPriority w:val="99"/>
    <w:unhideWhenUsed/>
    <w:rsid w:val="00D02B6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08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887"/>
    <w:rPr>
      <w:rFonts w:ascii="Tahoma" w:hAnsi="Tahoma" w:cs="Tahoma"/>
      <w:sz w:val="16"/>
      <w:szCs w:val="16"/>
    </w:rPr>
  </w:style>
  <w:style w:type="paragraph" w:styleId="ListParagraph">
    <w:name w:val="List Paragraph"/>
    <w:basedOn w:val="Normal"/>
    <w:uiPriority w:val="34"/>
    <w:qFormat/>
    <w:rsid w:val="00560887"/>
    <w:pPr>
      <w:ind w:left="720"/>
      <w:contextualSpacing/>
    </w:pPr>
  </w:style>
  <w:style w:type="character" w:styleId="Hyperlink">
    <w:name w:val="Hyperlink"/>
    <w:basedOn w:val="DefaultParagraphFont"/>
    <w:uiPriority w:val="99"/>
    <w:unhideWhenUsed/>
    <w:rsid w:val="00D02B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protitle.com/"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DE36F-FFD6-4ECA-A73B-683B2B998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731</Words>
  <Characters>4170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Papito Aquino</dc:creator>
  <cp:lastModifiedBy>Papito Aquino</cp:lastModifiedBy>
  <cp:revision>2</cp:revision>
  <cp:lastPrinted>2011-12-07T23:48:00Z</cp:lastPrinted>
  <dcterms:created xsi:type="dcterms:W3CDTF">2013-06-05T18:52:00Z</dcterms:created>
  <dcterms:modified xsi:type="dcterms:W3CDTF">2013-06-05T18:52:00Z</dcterms:modified>
</cp:coreProperties>
</file>